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C1" w:rsidRPr="00D52741" w:rsidRDefault="002C6DC1" w:rsidP="002C6DC1">
      <w:pPr>
        <w:rPr>
          <w:b/>
          <w:color w:val="C00000"/>
          <w:sz w:val="32"/>
        </w:rPr>
      </w:pPr>
      <w:r w:rsidRPr="00D52741">
        <w:rPr>
          <w:b/>
          <w:color w:val="C00000"/>
          <w:sz w:val="32"/>
        </w:rPr>
        <w:t xml:space="preserve">Porter’s </w:t>
      </w:r>
      <w:r w:rsidR="00C754C2" w:rsidRPr="00D52741">
        <w:rPr>
          <w:b/>
          <w:color w:val="C00000"/>
          <w:sz w:val="32"/>
        </w:rPr>
        <w:t>low cost, differentiation and focus strategies</w:t>
      </w:r>
      <w:r w:rsidR="00713AAD" w:rsidRPr="00D52741">
        <w:rPr>
          <w:b/>
          <w:color w:val="C00000"/>
          <w:sz w:val="32"/>
        </w:rPr>
        <w:br/>
      </w:r>
      <w:bookmarkStart w:id="0" w:name="_GoBack"/>
      <w:bookmarkEnd w:id="0"/>
    </w:p>
    <w:tbl>
      <w:tblPr>
        <w:tblStyle w:val="TableGrid"/>
        <w:tblW w:w="0" w:type="auto"/>
        <w:tblInd w:w="-5" w:type="dxa"/>
        <w:tblBorders>
          <w:top w:val="single" w:sz="4" w:space="0" w:color="FF6600"/>
          <w:left w:val="single" w:sz="4" w:space="0" w:color="FF6600"/>
          <w:bottom w:val="single" w:sz="4" w:space="0" w:color="FF6600"/>
          <w:right w:val="single" w:sz="4" w:space="0" w:color="FF6600"/>
          <w:insideH w:val="none" w:sz="0" w:space="0" w:color="auto"/>
          <w:insideV w:val="none" w:sz="0" w:space="0" w:color="auto"/>
        </w:tblBorders>
        <w:tblCellMar>
          <w:top w:w="57" w:type="dxa"/>
          <w:bottom w:w="57" w:type="dxa"/>
        </w:tblCellMar>
        <w:tblLook w:val="0620"/>
      </w:tblPr>
      <w:tblGrid>
        <w:gridCol w:w="857"/>
        <w:gridCol w:w="996"/>
        <w:gridCol w:w="1907"/>
        <w:gridCol w:w="1909"/>
        <w:gridCol w:w="3987"/>
      </w:tblGrid>
      <w:tr w:rsidR="002C6DC1" w:rsidRPr="00AB15B7" w:rsidTr="00D52741">
        <w:tc>
          <w:tcPr>
            <w:tcW w:w="9622" w:type="dxa"/>
            <w:gridSpan w:val="5"/>
            <w:tcBorders>
              <w:top w:val="single" w:sz="4" w:space="0" w:color="92D050"/>
              <w:left w:val="single" w:sz="4" w:space="0" w:color="92D050"/>
              <w:bottom w:val="single" w:sz="4" w:space="0" w:color="92D050"/>
              <w:right w:val="single" w:sz="4" w:space="0" w:color="92D050"/>
            </w:tcBorders>
            <w:shd w:val="clear" w:color="auto" w:fill="92D050"/>
          </w:tcPr>
          <w:p w:rsidR="002C6DC1" w:rsidRPr="006F6651" w:rsidRDefault="002C6DC1" w:rsidP="005A65A7">
            <w:pPr>
              <w:pStyle w:val="Boxedtext"/>
              <w:rPr>
                <w:b/>
              </w:rPr>
            </w:pPr>
            <w:r w:rsidRPr="006F6651">
              <w:rPr>
                <w:b/>
                <w:color w:val="FFFFFF" w:themeColor="background1"/>
              </w:rPr>
              <w:t>Meet the author</w:t>
            </w:r>
          </w:p>
        </w:tc>
      </w:tr>
      <w:tr w:rsidR="002C6DC1" w:rsidTr="00D52741">
        <w:tc>
          <w:tcPr>
            <w:tcW w:w="9622" w:type="dxa"/>
            <w:gridSpan w:val="5"/>
            <w:tcBorders>
              <w:top w:val="single" w:sz="4" w:space="0" w:color="92D050"/>
              <w:left w:val="single" w:sz="4" w:space="0" w:color="92D050"/>
              <w:bottom w:val="single" w:sz="4" w:space="0" w:color="92D050"/>
              <w:right w:val="single" w:sz="4" w:space="0" w:color="92D050"/>
            </w:tcBorders>
          </w:tcPr>
          <w:p w:rsidR="002C6DC1" w:rsidRPr="00243A8E" w:rsidRDefault="002C6DC1" w:rsidP="00243A8E">
            <w:pPr>
              <w:rPr>
                <w:sz w:val="20"/>
              </w:rPr>
            </w:pPr>
            <w:r w:rsidRPr="00C754C2">
              <w:t>Michael Porter is the Bishop William Lawrence University Professor at Harvard Business School. He is a director of the HBS Institute for Strategy and Competitiveness, which was founded in 2001 to continue his research work. He is a leading authority on competitive strategy. Porter gained a degree in Aerospace and Mechanical Engineering from Princeton University in 1969 and then studied for an MBA at the Harvard Business School. He continued at HBS, gaining his PhD in Business Economics in 1973.</w:t>
            </w:r>
            <w:r w:rsidRPr="00C754C2">
              <w:rPr>
                <w:sz w:val="20"/>
              </w:rPr>
              <w:t xml:space="preserve"> </w:t>
            </w:r>
          </w:p>
        </w:tc>
      </w:tr>
      <w:tr w:rsidR="002C6DC1" w:rsidRPr="002C6DC1" w:rsidTr="002C6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tblPrEx>
        <w:trPr>
          <w:gridAfter w:val="1"/>
          <w:wAfter w:w="3987" w:type="dxa"/>
          <w:trHeight w:val="597"/>
        </w:trPr>
        <w:tc>
          <w:tcPr>
            <w:tcW w:w="828" w:type="dxa"/>
            <w:tcBorders>
              <w:top w:val="nil"/>
              <w:left w:val="nil"/>
              <w:bottom w:val="nil"/>
              <w:right w:val="nil"/>
            </w:tcBorders>
            <w:vAlign w:val="center"/>
          </w:tcPr>
          <w:p w:rsidR="002C6DC1" w:rsidRPr="002C6DC1" w:rsidRDefault="002C6DC1" w:rsidP="005A65A7">
            <w:pPr>
              <w:jc w:val="center"/>
              <w:rPr>
                <w:sz w:val="20"/>
              </w:rPr>
            </w:pPr>
          </w:p>
        </w:tc>
        <w:tc>
          <w:tcPr>
            <w:tcW w:w="4812" w:type="dxa"/>
            <w:gridSpan w:val="3"/>
            <w:tcBorders>
              <w:top w:val="nil"/>
              <w:left w:val="nil"/>
              <w:bottom w:val="nil"/>
              <w:right w:val="nil"/>
            </w:tcBorders>
            <w:vAlign w:val="center"/>
          </w:tcPr>
          <w:p w:rsidR="002C6DC1" w:rsidRPr="002C6DC1" w:rsidRDefault="002C6DC1" w:rsidP="00243A8E">
            <w:pPr>
              <w:jc w:val="center"/>
              <w:rPr>
                <w:sz w:val="20"/>
              </w:rPr>
            </w:pPr>
            <w:r w:rsidRPr="002C6DC1">
              <w:t>Competitive advantage</w:t>
            </w:r>
          </w:p>
        </w:tc>
      </w:tr>
      <w:tr w:rsidR="002C6DC1" w:rsidRPr="002C6DC1" w:rsidTr="002C6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tblPrEx>
        <w:trPr>
          <w:gridAfter w:val="1"/>
          <w:wAfter w:w="3987" w:type="dxa"/>
          <w:trHeight w:val="546"/>
        </w:trPr>
        <w:tc>
          <w:tcPr>
            <w:tcW w:w="828" w:type="dxa"/>
            <w:vMerge w:val="restart"/>
            <w:tcBorders>
              <w:top w:val="nil"/>
              <w:left w:val="nil"/>
              <w:bottom w:val="nil"/>
              <w:right w:val="nil"/>
            </w:tcBorders>
            <w:textDirection w:val="btLr"/>
            <w:vAlign w:val="center"/>
          </w:tcPr>
          <w:p w:rsidR="002C6DC1" w:rsidRPr="002C6DC1" w:rsidRDefault="002C6DC1" w:rsidP="005A65A7">
            <w:pPr>
              <w:ind w:left="113" w:right="113"/>
              <w:jc w:val="center"/>
              <w:rPr>
                <w:sz w:val="20"/>
              </w:rPr>
            </w:pPr>
            <w:r w:rsidRPr="002C6DC1">
              <w:t>Competitive scope</w:t>
            </w:r>
          </w:p>
        </w:tc>
        <w:tc>
          <w:tcPr>
            <w:tcW w:w="996" w:type="dxa"/>
            <w:tcBorders>
              <w:top w:val="nil"/>
              <w:left w:val="nil"/>
              <w:bottom w:val="nil"/>
              <w:right w:val="nil"/>
            </w:tcBorders>
            <w:vAlign w:val="center"/>
          </w:tcPr>
          <w:p w:rsidR="002C6DC1" w:rsidRPr="002C6DC1" w:rsidRDefault="002C6DC1" w:rsidP="005A65A7">
            <w:pPr>
              <w:jc w:val="center"/>
              <w:rPr>
                <w:sz w:val="20"/>
              </w:rPr>
            </w:pPr>
          </w:p>
        </w:tc>
        <w:tc>
          <w:tcPr>
            <w:tcW w:w="1907" w:type="dxa"/>
            <w:tcBorders>
              <w:top w:val="nil"/>
              <w:left w:val="nil"/>
              <w:bottom w:val="single" w:sz="12" w:space="0" w:color="403152" w:themeColor="accent4" w:themeShade="80"/>
              <w:right w:val="nil"/>
            </w:tcBorders>
            <w:vAlign w:val="center"/>
          </w:tcPr>
          <w:p w:rsidR="002C6DC1" w:rsidRPr="002C6DC1" w:rsidRDefault="002C6DC1" w:rsidP="005A65A7">
            <w:pPr>
              <w:jc w:val="center"/>
              <w:rPr>
                <w:sz w:val="20"/>
              </w:rPr>
            </w:pPr>
            <w:r w:rsidRPr="002C6DC1">
              <w:rPr>
                <w:sz w:val="20"/>
              </w:rPr>
              <w:t>Lower cost</w:t>
            </w:r>
          </w:p>
        </w:tc>
        <w:tc>
          <w:tcPr>
            <w:tcW w:w="1909" w:type="dxa"/>
            <w:tcBorders>
              <w:top w:val="nil"/>
              <w:left w:val="nil"/>
              <w:bottom w:val="single" w:sz="12" w:space="0" w:color="403152" w:themeColor="accent4" w:themeShade="80"/>
              <w:right w:val="nil"/>
            </w:tcBorders>
            <w:vAlign w:val="center"/>
          </w:tcPr>
          <w:p w:rsidR="002C6DC1" w:rsidRPr="002C6DC1" w:rsidRDefault="002C6DC1" w:rsidP="005A65A7">
            <w:pPr>
              <w:jc w:val="center"/>
              <w:rPr>
                <w:sz w:val="20"/>
              </w:rPr>
            </w:pPr>
            <w:r w:rsidRPr="002C6DC1">
              <w:rPr>
                <w:sz w:val="20"/>
              </w:rPr>
              <w:t>Differentiation</w:t>
            </w:r>
          </w:p>
        </w:tc>
      </w:tr>
      <w:tr w:rsidR="002C6DC1" w:rsidRPr="002C6DC1" w:rsidTr="002C6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tblPrEx>
        <w:trPr>
          <w:gridAfter w:val="1"/>
          <w:wAfter w:w="3987" w:type="dxa"/>
          <w:trHeight w:val="1679"/>
        </w:trPr>
        <w:tc>
          <w:tcPr>
            <w:tcW w:w="828" w:type="dxa"/>
            <w:vMerge/>
            <w:tcBorders>
              <w:top w:val="nil"/>
              <w:left w:val="nil"/>
              <w:bottom w:val="nil"/>
              <w:right w:val="nil"/>
            </w:tcBorders>
            <w:vAlign w:val="center"/>
          </w:tcPr>
          <w:p w:rsidR="002C6DC1" w:rsidRPr="002C6DC1" w:rsidRDefault="002C6DC1" w:rsidP="005A65A7">
            <w:pPr>
              <w:jc w:val="center"/>
              <w:rPr>
                <w:sz w:val="20"/>
              </w:rPr>
            </w:pPr>
          </w:p>
        </w:tc>
        <w:tc>
          <w:tcPr>
            <w:tcW w:w="996" w:type="dxa"/>
            <w:tcBorders>
              <w:top w:val="nil"/>
              <w:left w:val="nil"/>
              <w:bottom w:val="nil"/>
              <w:right w:val="single" w:sz="12" w:space="0" w:color="403152" w:themeColor="accent4" w:themeShade="80"/>
            </w:tcBorders>
            <w:vAlign w:val="center"/>
          </w:tcPr>
          <w:p w:rsidR="002C6DC1" w:rsidRPr="002C6DC1" w:rsidRDefault="002C6DC1" w:rsidP="005A65A7">
            <w:pPr>
              <w:jc w:val="center"/>
              <w:rPr>
                <w:sz w:val="20"/>
              </w:rPr>
            </w:pPr>
            <w:r w:rsidRPr="002C6DC1">
              <w:rPr>
                <w:sz w:val="20"/>
              </w:rPr>
              <w:t>Broad target</w:t>
            </w:r>
          </w:p>
        </w:tc>
        <w:tc>
          <w:tcPr>
            <w:tcW w:w="1907" w:type="dxa"/>
            <w:tc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tcBorders>
            <w:shd w:val="clear" w:color="auto" w:fill="CCC0D9" w:themeFill="accent4" w:themeFillTint="66"/>
            <w:vAlign w:val="center"/>
          </w:tcPr>
          <w:p w:rsidR="002C6DC1" w:rsidRPr="002C6DC1" w:rsidRDefault="002C6DC1" w:rsidP="002C6DC1">
            <w:pPr>
              <w:jc w:val="center"/>
              <w:rPr>
                <w:sz w:val="20"/>
              </w:rPr>
            </w:pPr>
            <w:r w:rsidRPr="002C6DC1">
              <w:rPr>
                <w:sz w:val="20"/>
              </w:rPr>
              <w:t>1.</w:t>
            </w:r>
            <w:r>
              <w:rPr>
                <w:sz w:val="20"/>
              </w:rPr>
              <w:t xml:space="preserve"> </w:t>
            </w:r>
            <w:r w:rsidRPr="002C6DC1">
              <w:rPr>
                <w:sz w:val="20"/>
              </w:rPr>
              <w:t>Cost leadership</w:t>
            </w:r>
          </w:p>
        </w:tc>
        <w:tc>
          <w:tcPr>
            <w:tcW w:w="1909" w:type="dxa"/>
            <w:tc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tcBorders>
            <w:shd w:val="clear" w:color="auto" w:fill="CCC0D9" w:themeFill="accent4" w:themeFillTint="66"/>
            <w:vAlign w:val="center"/>
          </w:tcPr>
          <w:p w:rsidR="002C6DC1" w:rsidRPr="002C6DC1" w:rsidRDefault="002C6DC1" w:rsidP="005A65A7">
            <w:pPr>
              <w:jc w:val="center"/>
              <w:rPr>
                <w:sz w:val="20"/>
              </w:rPr>
            </w:pPr>
            <w:r>
              <w:rPr>
                <w:sz w:val="20"/>
              </w:rPr>
              <w:t xml:space="preserve">2. </w:t>
            </w:r>
            <w:r w:rsidRPr="002C6DC1">
              <w:rPr>
                <w:sz w:val="20"/>
              </w:rPr>
              <w:t>Differentiation</w:t>
            </w:r>
          </w:p>
        </w:tc>
      </w:tr>
      <w:tr w:rsidR="002C6DC1" w:rsidRPr="002C6DC1" w:rsidTr="002C6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tblPrEx>
        <w:trPr>
          <w:gridAfter w:val="1"/>
          <w:wAfter w:w="3987" w:type="dxa"/>
          <w:trHeight w:val="1787"/>
        </w:trPr>
        <w:tc>
          <w:tcPr>
            <w:tcW w:w="828" w:type="dxa"/>
            <w:vMerge/>
            <w:tcBorders>
              <w:top w:val="nil"/>
              <w:left w:val="nil"/>
              <w:bottom w:val="nil"/>
              <w:right w:val="nil"/>
            </w:tcBorders>
            <w:vAlign w:val="center"/>
          </w:tcPr>
          <w:p w:rsidR="002C6DC1" w:rsidRPr="002C6DC1" w:rsidRDefault="002C6DC1" w:rsidP="005A65A7">
            <w:pPr>
              <w:jc w:val="center"/>
              <w:rPr>
                <w:sz w:val="20"/>
              </w:rPr>
            </w:pPr>
          </w:p>
        </w:tc>
        <w:tc>
          <w:tcPr>
            <w:tcW w:w="996" w:type="dxa"/>
            <w:tcBorders>
              <w:top w:val="nil"/>
              <w:left w:val="nil"/>
              <w:bottom w:val="nil"/>
              <w:right w:val="single" w:sz="12" w:space="0" w:color="403152" w:themeColor="accent4" w:themeShade="80"/>
            </w:tcBorders>
            <w:vAlign w:val="center"/>
          </w:tcPr>
          <w:p w:rsidR="002C6DC1" w:rsidRPr="002C6DC1" w:rsidRDefault="002C6DC1" w:rsidP="005A65A7">
            <w:pPr>
              <w:jc w:val="center"/>
              <w:rPr>
                <w:sz w:val="20"/>
              </w:rPr>
            </w:pPr>
            <w:r w:rsidRPr="002C6DC1">
              <w:rPr>
                <w:sz w:val="20"/>
              </w:rPr>
              <w:t>Narrow target</w:t>
            </w:r>
          </w:p>
        </w:tc>
        <w:tc>
          <w:tcPr>
            <w:tcW w:w="1907" w:type="dxa"/>
            <w:tc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tcBorders>
            <w:shd w:val="clear" w:color="auto" w:fill="CCC0D9" w:themeFill="accent4" w:themeFillTint="66"/>
            <w:vAlign w:val="center"/>
          </w:tcPr>
          <w:p w:rsidR="002C6DC1" w:rsidRPr="002C6DC1" w:rsidRDefault="002C6DC1" w:rsidP="005A65A7">
            <w:pPr>
              <w:jc w:val="center"/>
              <w:rPr>
                <w:sz w:val="20"/>
              </w:rPr>
            </w:pPr>
            <w:r>
              <w:rPr>
                <w:sz w:val="20"/>
              </w:rPr>
              <w:t xml:space="preserve">3a. </w:t>
            </w:r>
            <w:r w:rsidRPr="002C6DC1">
              <w:rPr>
                <w:sz w:val="20"/>
              </w:rPr>
              <w:t>Cost focus</w:t>
            </w:r>
          </w:p>
        </w:tc>
        <w:tc>
          <w:tcPr>
            <w:tcW w:w="1909" w:type="dxa"/>
            <w:tc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tcBorders>
            <w:shd w:val="clear" w:color="auto" w:fill="CCC0D9" w:themeFill="accent4" w:themeFillTint="66"/>
            <w:vAlign w:val="center"/>
          </w:tcPr>
          <w:p w:rsidR="002C6DC1" w:rsidRPr="002C6DC1" w:rsidRDefault="002C6DC1" w:rsidP="005A65A7">
            <w:pPr>
              <w:jc w:val="center"/>
              <w:rPr>
                <w:sz w:val="20"/>
              </w:rPr>
            </w:pPr>
            <w:r>
              <w:rPr>
                <w:sz w:val="20"/>
              </w:rPr>
              <w:t xml:space="preserve">3b. </w:t>
            </w:r>
            <w:r w:rsidRPr="002C6DC1">
              <w:rPr>
                <w:sz w:val="20"/>
              </w:rPr>
              <w:t>Differentiation focus</w:t>
            </w:r>
          </w:p>
        </w:tc>
      </w:tr>
    </w:tbl>
    <w:p w:rsidR="00713AAD" w:rsidRDefault="00713AAD" w:rsidP="0047332B"/>
    <w:p w:rsidR="0047332B" w:rsidRPr="0047332B" w:rsidRDefault="0047332B" w:rsidP="0047332B">
      <w:r w:rsidRPr="0047332B">
        <w:t xml:space="preserve">Porter argues that a firm’s profitability will depend upon its ability to sustain a competitive advantage in the long run. He argued that there are essentially two main types </w:t>
      </w:r>
      <w:r w:rsidR="00C754C2" w:rsidRPr="0047332B">
        <w:t xml:space="preserve">of competitive advantage </w:t>
      </w:r>
      <w:r w:rsidRPr="0047332B">
        <w:t xml:space="preserve">that a firm can </w:t>
      </w:r>
      <w:r w:rsidR="00C754C2" w:rsidRPr="0047332B">
        <w:t>possess: low cost and differentiation</w:t>
      </w:r>
      <w:r w:rsidRPr="0047332B">
        <w:t>. He then argued that each of these two types of competitive advantage can be applied to a narrow or broad target market, resulting in three types of competitive strategy:</w:t>
      </w:r>
    </w:p>
    <w:p w:rsidR="0047332B" w:rsidRPr="0047332B" w:rsidRDefault="0047332B" w:rsidP="0047332B">
      <w:pPr>
        <w:numPr>
          <w:ilvl w:val="0"/>
          <w:numId w:val="12"/>
        </w:numPr>
        <w:spacing w:before="0" w:after="200" w:line="276" w:lineRule="auto"/>
      </w:pPr>
      <w:r w:rsidRPr="0047332B">
        <w:t xml:space="preserve">Cost </w:t>
      </w:r>
      <w:r>
        <w:t>l</w:t>
      </w:r>
      <w:r w:rsidRPr="0047332B">
        <w:t>eadership</w:t>
      </w:r>
    </w:p>
    <w:p w:rsidR="0047332B" w:rsidRPr="0047332B" w:rsidRDefault="0047332B" w:rsidP="0047332B">
      <w:pPr>
        <w:numPr>
          <w:ilvl w:val="0"/>
          <w:numId w:val="12"/>
        </w:numPr>
        <w:spacing w:before="0" w:after="200" w:line="276" w:lineRule="auto"/>
      </w:pPr>
      <w:r w:rsidRPr="0047332B">
        <w:t xml:space="preserve">Differentiated </w:t>
      </w:r>
      <w:r>
        <w:t>l</w:t>
      </w:r>
      <w:r w:rsidRPr="0047332B">
        <w:t>eadership</w:t>
      </w:r>
    </w:p>
    <w:p w:rsidR="002C6DC1" w:rsidRDefault="0047332B" w:rsidP="00471189">
      <w:pPr>
        <w:numPr>
          <w:ilvl w:val="0"/>
          <w:numId w:val="12"/>
        </w:numPr>
        <w:spacing w:before="0" w:after="200" w:line="276" w:lineRule="auto"/>
      </w:pPr>
      <w:r w:rsidRPr="0047332B">
        <w:t xml:space="preserve">Focus. The focus strategy has two elements: </w:t>
      </w:r>
      <w:r>
        <w:t>c</w:t>
      </w:r>
      <w:r w:rsidRPr="0047332B">
        <w:t xml:space="preserve">ost </w:t>
      </w:r>
      <w:r>
        <w:t>f</w:t>
      </w:r>
      <w:r w:rsidRPr="0047332B">
        <w:t xml:space="preserve">ocus and </w:t>
      </w:r>
      <w:r>
        <w:t>d</w:t>
      </w:r>
      <w:r w:rsidRPr="0047332B">
        <w:t xml:space="preserve">ifferentiation </w:t>
      </w:r>
      <w:r>
        <w:t>f</w:t>
      </w:r>
      <w:r w:rsidRPr="0047332B">
        <w:t>ocus</w:t>
      </w:r>
    </w:p>
    <w:p w:rsidR="0047332B" w:rsidRPr="0047332B" w:rsidRDefault="0047332B" w:rsidP="0047332B">
      <w:pPr>
        <w:numPr>
          <w:ilvl w:val="0"/>
          <w:numId w:val="7"/>
        </w:numPr>
        <w:spacing w:before="0" w:after="200" w:line="276" w:lineRule="auto"/>
      </w:pPr>
      <w:r w:rsidRPr="0047332B">
        <w:lastRenderedPageBreak/>
        <w:t xml:space="preserve">Cost leadership. This is where the firm aims to be the lowest cost producer in the market. This then translates into lower prices and hence attracts additional customers to the product. Firms adopting this form of competitive advantage need to ensure that productivity levels remain high in order to lower </w:t>
      </w:r>
      <w:r w:rsidR="00C754C2">
        <w:t>unit costs of production. Often</w:t>
      </w:r>
      <w:r w:rsidRPr="0047332B">
        <w:t xml:space="preserve"> production is highly mechanised. Although customers are attracted to lower prices, they also expect a certain level of quality and therefore the firm cannot cut costs by simply reducing quality.</w:t>
      </w:r>
    </w:p>
    <w:p w:rsidR="0047332B" w:rsidRDefault="0047332B" w:rsidP="0047332B">
      <w:pPr>
        <w:numPr>
          <w:ilvl w:val="0"/>
          <w:numId w:val="7"/>
        </w:numPr>
        <w:spacing w:before="0" w:after="200" w:line="276" w:lineRule="auto"/>
      </w:pPr>
      <w:r>
        <w:t>Differentiation. A firm that adopts a differentiation strategy will aim to provide a product or service which offers the customer a unique experience that they are willing to pay a premium price for. The firm must ensure that the product’s unique features match the desires of the market. Of course, providing a unique product adds to the unit cost and therefore the firm must ensure that the higher price compensates for this.</w:t>
      </w:r>
    </w:p>
    <w:p w:rsidR="0047332B" w:rsidRPr="0047332B" w:rsidRDefault="0047332B" w:rsidP="0047332B">
      <w:pPr>
        <w:numPr>
          <w:ilvl w:val="0"/>
          <w:numId w:val="7"/>
        </w:numPr>
        <w:spacing w:before="0" w:after="200" w:line="276" w:lineRule="auto"/>
      </w:pPr>
      <w:r w:rsidRPr="0047332B">
        <w:t xml:space="preserve">Focus. This is where the firm uses either </w:t>
      </w:r>
      <w:r w:rsidR="00C754C2" w:rsidRPr="0047332B">
        <w:t>the cost leadership or differentiation strategy, bu</w:t>
      </w:r>
      <w:r w:rsidRPr="0047332B">
        <w:t xml:space="preserve">t adopts it for a narrow segment of the market. This is also called a </w:t>
      </w:r>
      <w:r w:rsidR="00C754C2">
        <w:t>n</w:t>
      </w:r>
      <w:r w:rsidR="00C754C2" w:rsidRPr="0047332B">
        <w:t>iche ma</w:t>
      </w:r>
      <w:r w:rsidRPr="0047332B">
        <w:t xml:space="preserve">rket. Most firms embarking on a Focus strategy will adopt the </w:t>
      </w:r>
      <w:r w:rsidR="00C754C2" w:rsidRPr="0047332B">
        <w:t>differentiated focus</w:t>
      </w:r>
      <w:r w:rsidRPr="0047332B">
        <w:t xml:space="preserve">, where they provide a product or service for a segment of a market at a premium price. </w:t>
      </w:r>
    </w:p>
    <w:sectPr w:rsidR="0047332B" w:rsidRPr="0047332B" w:rsidSect="00471189">
      <w:headerReference w:type="even" r:id="rId7"/>
      <w:headerReference w:type="default" r:id="rId8"/>
      <w:footerReference w:type="even" r:id="rId9"/>
      <w:footerReference w:type="default" r:id="rId10"/>
      <w:headerReference w:type="first" r:id="rId11"/>
      <w:footerReference w:type="first" r:id="rId12"/>
      <w:pgSz w:w="11900" w:h="16840"/>
      <w:pgMar w:top="2552" w:right="1134" w:bottom="851" w:left="1134" w:header="567"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3FC" w:rsidRDefault="00D943FC" w:rsidP="00890350">
      <w:r>
        <w:separator/>
      </w:r>
    </w:p>
  </w:endnote>
  <w:endnote w:type="continuationSeparator" w:id="1">
    <w:p w:rsidR="00D943FC" w:rsidRDefault="00D943FC" w:rsidP="0089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kzidenzGroteskBQ-Reg">
    <w:altName w:val="Courie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B9" w:rsidRDefault="00D055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B7" w:rsidRPr="001906CA" w:rsidRDefault="00AB15B7" w:rsidP="001906CA">
    <w:pPr>
      <w:tabs>
        <w:tab w:val="right" w:pos="9632"/>
      </w:tabs>
      <w:ind w:right="-7"/>
      <w:rPr>
        <w:color w:val="2F444D"/>
        <w:sz w:val="18"/>
        <w:szCs w:val="18"/>
      </w:rPr>
    </w:pPr>
    <w:r w:rsidRPr="001906CA">
      <w:rPr>
        <w:color w:val="2F444D"/>
        <w:sz w:val="18"/>
        <w:szCs w:val="18"/>
      </w:rPr>
      <w:t>AQA A-LEVE</w:t>
    </w:r>
    <w:r>
      <w:rPr>
        <w:color w:val="2F444D"/>
        <w:sz w:val="18"/>
        <w:szCs w:val="18"/>
      </w:rPr>
      <w:t>L Business</w:t>
    </w:r>
    <w:r w:rsidRPr="001906CA">
      <w:rPr>
        <w:color w:val="2F444D"/>
        <w:sz w:val="18"/>
        <w:szCs w:val="18"/>
      </w:rPr>
      <w:tab/>
      <w:t xml:space="preserve">© Hodder &amp; Stoughton Limited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B9" w:rsidRDefault="00D05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3FC" w:rsidRDefault="00D943FC" w:rsidP="00890350">
      <w:r>
        <w:separator/>
      </w:r>
    </w:p>
  </w:footnote>
  <w:footnote w:type="continuationSeparator" w:id="1">
    <w:p w:rsidR="00D943FC" w:rsidRDefault="00D943FC" w:rsidP="00890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B9" w:rsidRDefault="00D055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B7" w:rsidRPr="0040650C" w:rsidRDefault="00D055B9" w:rsidP="0040650C">
    <w:pPr>
      <w:pStyle w:val="Heading1"/>
      <w:ind w:left="1418"/>
      <w:rPr>
        <w:color w:val="FFFFFF" w:themeColor="background1"/>
      </w:rPr>
    </w:pPr>
    <w:r w:rsidRPr="00D055B9">
      <w:rPr>
        <w:noProof/>
        <w:color w:val="FFFFFF" w:themeColor="background1"/>
        <w:lang w:eastAsia="en-GB"/>
      </w:rPr>
      <w:drawing>
        <wp:anchor distT="0" distB="0" distL="114300" distR="114300" simplePos="0" relativeHeight="251657216" behindDoc="0" locked="0" layoutInCell="1" allowOverlap="1">
          <wp:simplePos x="0" y="0"/>
          <wp:positionH relativeFrom="column">
            <wp:posOffset>-720090</wp:posOffset>
          </wp:positionH>
          <wp:positionV relativeFrom="paragraph">
            <wp:posOffset>-360045</wp:posOffset>
          </wp:positionV>
          <wp:extent cx="1363980" cy="13716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p;C.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4412" cy="1372034"/>
                  </a:xfrm>
                  <a:prstGeom prst="rect">
                    <a:avLst/>
                  </a:prstGeom>
                </pic:spPr>
              </pic:pic>
            </a:graphicData>
          </a:graphic>
        </wp:anchor>
      </w:drawing>
    </w:r>
    <w:r w:rsidR="0098569A">
      <w:rPr>
        <w:noProof/>
        <w:color w:val="FFFFFF" w:themeColor="background1"/>
        <w:lang w:eastAsia="en-GB"/>
      </w:rPr>
      <w:pict>
        <v:rect id="Rectangle 3" o:spid="_x0000_s6145" style="position:absolute;left:0;text-align:left;margin-left:-61.65pt;margin-top:-28.15pt;width:603pt;height:108pt;z-index:-251658240;visibility:visible;mso-position-horizontal-relative:text;mso-position-vertical-relative:text;mso-width-relative:margin;mso-height-relative:margin;v-text-anchor:middle" fillcolor="#b71170" stroked="f"/>
      </w:pict>
    </w:r>
    <w:r w:rsidR="00B42A3D" w:rsidRPr="00B42A3D">
      <w:rPr>
        <w:noProof/>
        <w:color w:val="FFFFFF" w:themeColor="background1"/>
        <w:lang w:eastAsia="en-GB"/>
      </w:rPr>
      <w:t>Unit 8 Choosing strategic direction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B9" w:rsidRDefault="00D055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7645"/>
    <w:multiLevelType w:val="hybridMultilevel"/>
    <w:tmpl w:val="E3306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B841B9"/>
    <w:multiLevelType w:val="hybridMultilevel"/>
    <w:tmpl w:val="380A58AE"/>
    <w:lvl w:ilvl="0" w:tplc="636232E0">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082180"/>
    <w:multiLevelType w:val="hybridMultilevel"/>
    <w:tmpl w:val="DBBA2B1C"/>
    <w:lvl w:ilvl="0" w:tplc="5BA2E524">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9D293F"/>
    <w:multiLevelType w:val="hybridMultilevel"/>
    <w:tmpl w:val="F32CA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0C632B"/>
    <w:multiLevelType w:val="hybridMultilevel"/>
    <w:tmpl w:val="A8F2C7E6"/>
    <w:lvl w:ilvl="0" w:tplc="0409000F">
      <w:start w:val="1"/>
      <w:numFmt w:val="decimal"/>
      <w:lvlText w:val="%1."/>
      <w:lvlJc w:val="left"/>
      <w:pPr>
        <w:ind w:left="720" w:hanging="360"/>
      </w:pPr>
      <w:rPr>
        <w:rFonts w:hint="default"/>
        <w:b/>
        <w:bCs/>
        <w:i w:val="0"/>
        <w:iCs w:val="0"/>
        <w:color w:val="66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46AB0"/>
    <w:multiLevelType w:val="hybridMultilevel"/>
    <w:tmpl w:val="68F8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D270A8"/>
    <w:multiLevelType w:val="hybridMultilevel"/>
    <w:tmpl w:val="DC94D7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9C2971"/>
    <w:multiLevelType w:val="hybridMultilevel"/>
    <w:tmpl w:val="186654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2F49A0"/>
    <w:multiLevelType w:val="hybridMultilevel"/>
    <w:tmpl w:val="B89A8D7C"/>
    <w:lvl w:ilvl="0" w:tplc="792E5A0A">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5628D9"/>
    <w:multiLevelType w:val="hybridMultilevel"/>
    <w:tmpl w:val="90A44A7A"/>
    <w:lvl w:ilvl="0" w:tplc="A994045A">
      <w:start w:val="1"/>
      <w:numFmt w:val="decimal"/>
      <w:lvlText w:val="%1."/>
      <w:lvlJc w:val="left"/>
      <w:pPr>
        <w:ind w:left="360" w:hanging="360"/>
      </w:pPr>
      <w:rPr>
        <w:rFonts w:hint="default"/>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731E69"/>
    <w:multiLevelType w:val="hybridMultilevel"/>
    <w:tmpl w:val="BEA65CE8"/>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F83DF2"/>
    <w:multiLevelType w:val="hybridMultilevel"/>
    <w:tmpl w:val="60145424"/>
    <w:lvl w:ilvl="0" w:tplc="F92230E6">
      <w:start w:val="1"/>
      <w:numFmt w:val="decimal"/>
      <w:lvlText w:val="%1."/>
      <w:lvlJc w:val="left"/>
      <w:pPr>
        <w:ind w:left="720" w:hanging="360"/>
      </w:pPr>
      <w:rPr>
        <w:rFonts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F46781"/>
    <w:multiLevelType w:val="hybridMultilevel"/>
    <w:tmpl w:val="CF92BCA2"/>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12"/>
  </w:num>
  <w:num w:numId="5">
    <w:abstractNumId w:val="10"/>
  </w:num>
  <w:num w:numId="6">
    <w:abstractNumId w:val="1"/>
  </w:num>
  <w:num w:numId="7">
    <w:abstractNumId w:val="9"/>
  </w:num>
  <w:num w:numId="8">
    <w:abstractNumId w:val="3"/>
  </w:num>
  <w:num w:numId="9">
    <w:abstractNumId w:val="5"/>
  </w:num>
  <w:num w:numId="10">
    <w:abstractNumId w:val="7"/>
  </w:num>
  <w:num w:numId="11">
    <w:abstractNumId w:val="11"/>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embedSystemFonts/>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3314">
      <o:colormenu v:ext="edit" fillcolor="#b71170"/>
    </o:shapedefaults>
    <o:shapelayout v:ext="edit">
      <o:idmap v:ext="edit" data="6"/>
    </o:shapelayout>
  </w:hdrShapeDefaults>
  <w:footnotePr>
    <w:footnote w:id="0"/>
    <w:footnote w:id="1"/>
  </w:footnotePr>
  <w:endnotePr>
    <w:endnote w:id="0"/>
    <w:endnote w:id="1"/>
  </w:endnotePr>
  <w:compat>
    <w:useFELayout/>
  </w:compat>
  <w:rsids>
    <w:rsidRoot w:val="002C6DC1"/>
    <w:rsid w:val="000A727D"/>
    <w:rsid w:val="000B02A3"/>
    <w:rsid w:val="000C066F"/>
    <w:rsid w:val="00121D91"/>
    <w:rsid w:val="001906CA"/>
    <w:rsid w:val="00195543"/>
    <w:rsid w:val="001C347C"/>
    <w:rsid w:val="001D44D7"/>
    <w:rsid w:val="00243A8E"/>
    <w:rsid w:val="002C6DC1"/>
    <w:rsid w:val="002E203C"/>
    <w:rsid w:val="00304C09"/>
    <w:rsid w:val="003321B0"/>
    <w:rsid w:val="0040650C"/>
    <w:rsid w:val="00471189"/>
    <w:rsid w:val="0047332B"/>
    <w:rsid w:val="004F61AB"/>
    <w:rsid w:val="00665E17"/>
    <w:rsid w:val="00713354"/>
    <w:rsid w:val="00713AAD"/>
    <w:rsid w:val="007B204A"/>
    <w:rsid w:val="00890350"/>
    <w:rsid w:val="008D36FD"/>
    <w:rsid w:val="008D4C28"/>
    <w:rsid w:val="009606AD"/>
    <w:rsid w:val="0098569A"/>
    <w:rsid w:val="00AB15B7"/>
    <w:rsid w:val="00AB6B8B"/>
    <w:rsid w:val="00AC69AC"/>
    <w:rsid w:val="00B42A3D"/>
    <w:rsid w:val="00B54CDF"/>
    <w:rsid w:val="00B832EB"/>
    <w:rsid w:val="00B85EFB"/>
    <w:rsid w:val="00BD15D2"/>
    <w:rsid w:val="00BE290E"/>
    <w:rsid w:val="00BF72DA"/>
    <w:rsid w:val="00C754C2"/>
    <w:rsid w:val="00CB26FA"/>
    <w:rsid w:val="00CF6D49"/>
    <w:rsid w:val="00D055B9"/>
    <w:rsid w:val="00D52741"/>
    <w:rsid w:val="00D943FC"/>
    <w:rsid w:val="00DD0BA6"/>
    <w:rsid w:val="00DF1BE3"/>
    <w:rsid w:val="00E23817"/>
    <w:rsid w:val="00E64067"/>
    <w:rsid w:val="00FC2D82"/>
    <w:rsid w:val="00FD1C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colormenu v:ext="edit" fillcolor="#b7117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A3"/>
    <w:pPr>
      <w:spacing w:before="240" w:after="120"/>
    </w:pPr>
    <w:rPr>
      <w:rFonts w:ascii="Verdana" w:hAnsi="Verdana"/>
      <w:sz w:val="24"/>
      <w:szCs w:val="24"/>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A3"/>
    <w:pPr>
      <w:spacing w:before="240" w:after="120"/>
    </w:pPr>
    <w:rPr>
      <w:rFonts w:ascii="Verdana" w:hAnsi="Verdana"/>
      <w:sz w:val="24"/>
      <w:szCs w:val="24"/>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esktop\Business%20DL\S&amp;G%20template%20Bk%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S&amp;G template Bk 2.dotx</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Philip Allan Updates</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user</cp:lastModifiedBy>
  <cp:revision>2</cp:revision>
  <dcterms:created xsi:type="dcterms:W3CDTF">2016-06-18T11:59:00Z</dcterms:created>
  <dcterms:modified xsi:type="dcterms:W3CDTF">2016-06-18T11:59:00Z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76962</vt:lpwstr>
  </property>
  <property fmtid="{D5CDD505-2E9C-101B-9397-08002B2CF9AE}" pid="3" name="NXPowerLiteSettings">
    <vt:lpwstr>F5000400038000</vt:lpwstr>
  </property>
  <property fmtid="{D5CDD505-2E9C-101B-9397-08002B2CF9AE}" pid="4" name="NXPowerLiteVersion">
    <vt:lpwstr>D6.1.2</vt:lpwstr>
  </property>
</Properties>
</file>