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18" w:rsidRPr="00F20E85" w:rsidRDefault="00710A86" w:rsidP="00710A86">
      <w:pPr>
        <w:jc w:val="both"/>
        <w:rPr>
          <w:b/>
          <w:color w:val="C00000"/>
          <w:sz w:val="32"/>
        </w:rPr>
      </w:pPr>
      <w:r w:rsidRPr="00F20E85">
        <w:rPr>
          <w:b/>
          <w:color w:val="C00000"/>
          <w:sz w:val="32"/>
        </w:rPr>
        <w:t xml:space="preserve">Porter’s </w:t>
      </w:r>
      <w:r w:rsidR="00730EF7" w:rsidRPr="00F20E85">
        <w:rPr>
          <w:b/>
          <w:color w:val="C00000"/>
          <w:sz w:val="32"/>
        </w:rPr>
        <w:t xml:space="preserve">generic strategies </w:t>
      </w:r>
      <w:r w:rsidRPr="00F20E85">
        <w:rPr>
          <w:b/>
          <w:color w:val="C00000"/>
          <w:sz w:val="32"/>
        </w:rPr>
        <w:t>activity</w:t>
      </w:r>
    </w:p>
    <w:tbl>
      <w:tblPr>
        <w:tblStyle w:val="TableGrid"/>
        <w:tblW w:w="0" w:type="auto"/>
        <w:jc w:val="center"/>
        <w:tblLook w:val="04A0"/>
      </w:tblPr>
      <w:tblGrid>
        <w:gridCol w:w="932"/>
        <w:gridCol w:w="1110"/>
        <w:gridCol w:w="2126"/>
        <w:gridCol w:w="2127"/>
      </w:tblGrid>
      <w:tr w:rsidR="00045D18" w:rsidTr="00710A86">
        <w:trPr>
          <w:jc w:val="center"/>
        </w:trPr>
        <w:tc>
          <w:tcPr>
            <w:tcW w:w="874" w:type="dxa"/>
            <w:tcBorders>
              <w:top w:val="nil"/>
              <w:left w:val="nil"/>
              <w:bottom w:val="nil"/>
              <w:right w:val="nil"/>
            </w:tcBorders>
            <w:vAlign w:val="center"/>
          </w:tcPr>
          <w:p w:rsidR="00045D18" w:rsidRPr="00045D18" w:rsidRDefault="00045D18" w:rsidP="00045D18">
            <w:pPr>
              <w:jc w:val="center"/>
            </w:pPr>
          </w:p>
        </w:tc>
        <w:tc>
          <w:tcPr>
            <w:tcW w:w="5363" w:type="dxa"/>
            <w:gridSpan w:val="3"/>
            <w:tcBorders>
              <w:top w:val="nil"/>
              <w:left w:val="nil"/>
              <w:bottom w:val="nil"/>
              <w:right w:val="nil"/>
            </w:tcBorders>
            <w:vAlign w:val="center"/>
          </w:tcPr>
          <w:p w:rsidR="00045D18" w:rsidRPr="003F3F5C" w:rsidRDefault="00FA6E4E" w:rsidP="00045D18">
            <w:pPr>
              <w:jc w:val="center"/>
            </w:pPr>
            <w:r>
              <w:rPr>
                <w:sz w:val="28"/>
              </w:rPr>
              <w:t xml:space="preserve">     </w:t>
            </w:r>
            <w:r w:rsidR="003F3F5C">
              <w:rPr>
                <w:sz w:val="28"/>
              </w:rPr>
              <w:t xml:space="preserve"> </w:t>
            </w:r>
            <w:r w:rsidR="00045D18" w:rsidRPr="003F3F5C">
              <w:rPr>
                <w:sz w:val="28"/>
              </w:rPr>
              <w:t>Competitive advantage</w:t>
            </w:r>
          </w:p>
        </w:tc>
      </w:tr>
      <w:tr w:rsidR="00045D18" w:rsidTr="00710A86">
        <w:trPr>
          <w:jc w:val="center"/>
        </w:trPr>
        <w:tc>
          <w:tcPr>
            <w:tcW w:w="874" w:type="dxa"/>
            <w:vMerge w:val="restart"/>
            <w:tcBorders>
              <w:top w:val="nil"/>
              <w:left w:val="nil"/>
              <w:bottom w:val="nil"/>
              <w:right w:val="nil"/>
            </w:tcBorders>
            <w:textDirection w:val="btLr"/>
            <w:vAlign w:val="center"/>
          </w:tcPr>
          <w:p w:rsidR="00045D18" w:rsidRPr="003F3F5C" w:rsidRDefault="00045D18" w:rsidP="00045D18">
            <w:pPr>
              <w:ind w:left="113" w:right="113"/>
              <w:jc w:val="center"/>
            </w:pPr>
            <w:r w:rsidRPr="003F3F5C">
              <w:rPr>
                <w:sz w:val="28"/>
              </w:rPr>
              <w:t>Competitive scope</w:t>
            </w:r>
          </w:p>
        </w:tc>
        <w:tc>
          <w:tcPr>
            <w:tcW w:w="1110" w:type="dxa"/>
            <w:tcBorders>
              <w:top w:val="nil"/>
              <w:left w:val="nil"/>
              <w:bottom w:val="nil"/>
              <w:right w:val="nil"/>
            </w:tcBorders>
            <w:vAlign w:val="center"/>
          </w:tcPr>
          <w:p w:rsidR="00045D18" w:rsidRPr="00045D18" w:rsidRDefault="00045D18" w:rsidP="00045D18">
            <w:pPr>
              <w:jc w:val="center"/>
            </w:pPr>
          </w:p>
        </w:tc>
        <w:tc>
          <w:tcPr>
            <w:tcW w:w="2126" w:type="dxa"/>
            <w:tcBorders>
              <w:top w:val="nil"/>
              <w:left w:val="nil"/>
              <w:bottom w:val="single" w:sz="12" w:space="0" w:color="403152" w:themeColor="accent4" w:themeShade="80"/>
              <w:right w:val="nil"/>
            </w:tcBorders>
            <w:vAlign w:val="center"/>
          </w:tcPr>
          <w:p w:rsidR="00045D18" w:rsidRPr="00710A86" w:rsidRDefault="00045D18" w:rsidP="00045D18">
            <w:pPr>
              <w:jc w:val="center"/>
            </w:pPr>
            <w:r w:rsidRPr="00710A86">
              <w:t>Lower cost</w:t>
            </w:r>
          </w:p>
        </w:tc>
        <w:tc>
          <w:tcPr>
            <w:tcW w:w="2127" w:type="dxa"/>
            <w:tcBorders>
              <w:top w:val="nil"/>
              <w:left w:val="nil"/>
              <w:bottom w:val="single" w:sz="12" w:space="0" w:color="403152" w:themeColor="accent4" w:themeShade="80"/>
              <w:right w:val="nil"/>
            </w:tcBorders>
            <w:vAlign w:val="center"/>
          </w:tcPr>
          <w:p w:rsidR="00045D18" w:rsidRPr="00710A86" w:rsidRDefault="00045D18" w:rsidP="00045D18">
            <w:pPr>
              <w:jc w:val="center"/>
            </w:pPr>
            <w:r w:rsidRPr="00710A86">
              <w:t>Differentiation</w:t>
            </w:r>
          </w:p>
        </w:tc>
      </w:tr>
      <w:tr w:rsidR="00045D18" w:rsidTr="00710A86">
        <w:trPr>
          <w:trHeight w:val="1981"/>
          <w:jc w:val="center"/>
        </w:trPr>
        <w:tc>
          <w:tcPr>
            <w:tcW w:w="874" w:type="dxa"/>
            <w:vMerge/>
            <w:tcBorders>
              <w:top w:val="nil"/>
              <w:left w:val="nil"/>
              <w:bottom w:val="nil"/>
              <w:right w:val="nil"/>
            </w:tcBorders>
            <w:vAlign w:val="center"/>
          </w:tcPr>
          <w:p w:rsidR="00045D18" w:rsidRPr="00045D18" w:rsidRDefault="00045D18" w:rsidP="00045D18">
            <w:pPr>
              <w:jc w:val="center"/>
            </w:pPr>
          </w:p>
        </w:tc>
        <w:tc>
          <w:tcPr>
            <w:tcW w:w="1110" w:type="dxa"/>
            <w:tcBorders>
              <w:top w:val="nil"/>
              <w:left w:val="nil"/>
              <w:bottom w:val="nil"/>
              <w:right w:val="single" w:sz="12" w:space="0" w:color="403152" w:themeColor="accent4" w:themeShade="80"/>
            </w:tcBorders>
            <w:vAlign w:val="center"/>
          </w:tcPr>
          <w:p w:rsidR="00045D18" w:rsidRPr="003F3F5C" w:rsidRDefault="00045D18" w:rsidP="00045D18">
            <w:pPr>
              <w:jc w:val="center"/>
            </w:pPr>
            <w:r w:rsidRPr="003F3F5C">
              <w:t>Broad target</w:t>
            </w:r>
          </w:p>
        </w:tc>
        <w:tc>
          <w:tcPr>
            <w:tcW w:w="2126"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CCC0D9" w:themeFill="accent4" w:themeFillTint="66"/>
            <w:vAlign w:val="center"/>
          </w:tcPr>
          <w:p w:rsidR="00045D18" w:rsidRPr="00045D18" w:rsidRDefault="00045D18" w:rsidP="00045D18">
            <w:pPr>
              <w:jc w:val="center"/>
            </w:pPr>
            <w:r w:rsidRPr="00045D18">
              <w:t>Cost leadership</w:t>
            </w:r>
          </w:p>
        </w:tc>
        <w:tc>
          <w:tcPr>
            <w:tcW w:w="2127"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CCC0D9" w:themeFill="accent4" w:themeFillTint="66"/>
            <w:vAlign w:val="center"/>
          </w:tcPr>
          <w:p w:rsidR="00045D18" w:rsidRPr="00045D18" w:rsidRDefault="00045D18" w:rsidP="00045D18">
            <w:pPr>
              <w:jc w:val="center"/>
            </w:pPr>
            <w:r w:rsidRPr="00045D18">
              <w:t>Differentiation</w:t>
            </w:r>
          </w:p>
        </w:tc>
      </w:tr>
      <w:tr w:rsidR="00045D18" w:rsidTr="00710A86">
        <w:trPr>
          <w:trHeight w:val="2108"/>
          <w:jc w:val="center"/>
        </w:trPr>
        <w:tc>
          <w:tcPr>
            <w:tcW w:w="874" w:type="dxa"/>
            <w:vMerge/>
            <w:tcBorders>
              <w:top w:val="nil"/>
              <w:left w:val="nil"/>
              <w:bottom w:val="nil"/>
              <w:right w:val="nil"/>
            </w:tcBorders>
            <w:vAlign w:val="center"/>
          </w:tcPr>
          <w:p w:rsidR="00045D18" w:rsidRPr="00045D18" w:rsidRDefault="00045D18" w:rsidP="00045D18">
            <w:pPr>
              <w:jc w:val="center"/>
            </w:pPr>
          </w:p>
        </w:tc>
        <w:tc>
          <w:tcPr>
            <w:tcW w:w="1110" w:type="dxa"/>
            <w:tcBorders>
              <w:top w:val="nil"/>
              <w:left w:val="nil"/>
              <w:bottom w:val="nil"/>
              <w:right w:val="single" w:sz="12" w:space="0" w:color="403152" w:themeColor="accent4" w:themeShade="80"/>
            </w:tcBorders>
            <w:vAlign w:val="center"/>
          </w:tcPr>
          <w:p w:rsidR="00045D18" w:rsidRPr="003F3F5C" w:rsidRDefault="00045D18" w:rsidP="00045D18">
            <w:pPr>
              <w:jc w:val="center"/>
            </w:pPr>
            <w:r w:rsidRPr="003F3F5C">
              <w:t>Narrow target</w:t>
            </w:r>
          </w:p>
        </w:tc>
        <w:tc>
          <w:tcPr>
            <w:tcW w:w="2126"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CCC0D9" w:themeFill="accent4" w:themeFillTint="66"/>
            <w:vAlign w:val="center"/>
          </w:tcPr>
          <w:p w:rsidR="00045D18" w:rsidRPr="00045D18" w:rsidRDefault="00045D18" w:rsidP="00045D18">
            <w:pPr>
              <w:jc w:val="center"/>
            </w:pPr>
            <w:r w:rsidRPr="00045D18">
              <w:t>Cost focus</w:t>
            </w:r>
          </w:p>
        </w:tc>
        <w:tc>
          <w:tcPr>
            <w:tcW w:w="2127"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CCC0D9" w:themeFill="accent4" w:themeFillTint="66"/>
            <w:vAlign w:val="center"/>
          </w:tcPr>
          <w:p w:rsidR="00045D18" w:rsidRPr="00045D18" w:rsidRDefault="00045D18" w:rsidP="00045D18">
            <w:pPr>
              <w:jc w:val="center"/>
            </w:pPr>
            <w:r w:rsidRPr="00045D18">
              <w:t>Differentiation focus</w:t>
            </w:r>
          </w:p>
        </w:tc>
      </w:tr>
    </w:tbl>
    <w:p w:rsidR="00710A86" w:rsidRPr="00F20E85" w:rsidRDefault="00710A86" w:rsidP="00710A86">
      <w:pPr>
        <w:spacing w:after="0"/>
        <w:jc w:val="both"/>
        <w:rPr>
          <w:b/>
          <w:color w:val="C00000"/>
          <w:sz w:val="28"/>
        </w:rPr>
      </w:pPr>
      <w:r w:rsidRPr="00F20E85">
        <w:rPr>
          <w:b/>
          <w:color w:val="C00000"/>
          <w:sz w:val="28"/>
        </w:rPr>
        <w:t>Task 1</w:t>
      </w:r>
    </w:p>
    <w:p w:rsidR="00710A86" w:rsidRPr="00710A86" w:rsidRDefault="00710A86" w:rsidP="00710A86">
      <w:r w:rsidRPr="00710A86">
        <w:t>Complete the table below to state whether you believe the firms are pursuing a cost leadership strategy or differentiation strategy.</w:t>
      </w:r>
    </w:p>
    <w:tbl>
      <w:tblPr>
        <w:tblStyle w:val="LightList-Accent1"/>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tblPr>
      <w:tblGrid>
        <w:gridCol w:w="4811"/>
        <w:gridCol w:w="4811"/>
      </w:tblGrid>
      <w:tr w:rsidR="00710A86" w:rsidRPr="00710A86" w:rsidTr="00F20E85">
        <w:trPr>
          <w:cnfStyle w:val="100000000000"/>
        </w:trPr>
        <w:tc>
          <w:tcPr>
            <w:cnfStyle w:val="001000000000"/>
            <w:tcW w:w="4811" w:type="dxa"/>
            <w:shd w:val="clear" w:color="auto" w:fill="92D050"/>
          </w:tcPr>
          <w:p w:rsidR="00710A86" w:rsidRPr="00710A86" w:rsidRDefault="00710A86" w:rsidP="00710A86">
            <w:pPr>
              <w:spacing w:before="0"/>
              <w:rPr>
                <w:sz w:val="22"/>
              </w:rPr>
            </w:pPr>
            <w:r w:rsidRPr="00710A86">
              <w:rPr>
                <w:sz w:val="22"/>
              </w:rPr>
              <w:t>Company</w:t>
            </w:r>
          </w:p>
        </w:tc>
        <w:tc>
          <w:tcPr>
            <w:tcW w:w="4811" w:type="dxa"/>
            <w:shd w:val="clear" w:color="auto" w:fill="92D050"/>
          </w:tcPr>
          <w:p w:rsidR="00710A86" w:rsidRPr="00710A86" w:rsidRDefault="00710A86" w:rsidP="00710A86">
            <w:pPr>
              <w:spacing w:before="0"/>
              <w:cnfStyle w:val="100000000000"/>
              <w:rPr>
                <w:sz w:val="22"/>
              </w:rPr>
            </w:pPr>
            <w:r w:rsidRPr="00710A86">
              <w:rPr>
                <w:sz w:val="22"/>
              </w:rPr>
              <w:t xml:space="preserve">Porter’s </w:t>
            </w:r>
            <w:r>
              <w:rPr>
                <w:sz w:val="22"/>
              </w:rPr>
              <w:t>g</w:t>
            </w:r>
            <w:r w:rsidRPr="00710A86">
              <w:rPr>
                <w:sz w:val="22"/>
              </w:rPr>
              <w:t xml:space="preserve">eneric </w:t>
            </w:r>
            <w:r>
              <w:rPr>
                <w:sz w:val="22"/>
              </w:rPr>
              <w:t>s</w:t>
            </w:r>
            <w:r w:rsidRPr="00710A86">
              <w:rPr>
                <w:sz w:val="22"/>
              </w:rPr>
              <w:t>trategy used</w:t>
            </w:r>
          </w:p>
        </w:tc>
      </w:tr>
      <w:tr w:rsidR="00710A86" w:rsidRPr="00710A86" w:rsidTr="00F20E85">
        <w:trPr>
          <w:cnfStyle w:val="000000100000"/>
        </w:trPr>
        <w:tc>
          <w:tcPr>
            <w:cnfStyle w:val="001000000000"/>
            <w:tcW w:w="4811" w:type="dxa"/>
            <w:tcBorders>
              <w:top w:val="none" w:sz="0" w:space="0" w:color="auto"/>
              <w:left w:val="none" w:sz="0" w:space="0" w:color="auto"/>
              <w:bottom w:val="none" w:sz="0" w:space="0" w:color="auto"/>
            </w:tcBorders>
          </w:tcPr>
          <w:p w:rsidR="00710A86" w:rsidRPr="00710A86" w:rsidRDefault="00710A86" w:rsidP="00710A86">
            <w:pPr>
              <w:spacing w:before="0" w:after="240"/>
              <w:rPr>
                <w:sz w:val="22"/>
              </w:rPr>
            </w:pPr>
            <w:r w:rsidRPr="00710A86">
              <w:rPr>
                <w:sz w:val="22"/>
              </w:rPr>
              <w:t>Avon Cosmetics</w:t>
            </w:r>
          </w:p>
        </w:tc>
        <w:tc>
          <w:tcPr>
            <w:tcW w:w="4811" w:type="dxa"/>
            <w:tcBorders>
              <w:top w:val="none" w:sz="0" w:space="0" w:color="auto"/>
              <w:bottom w:val="none" w:sz="0" w:space="0" w:color="auto"/>
              <w:right w:val="none" w:sz="0" w:space="0" w:color="auto"/>
            </w:tcBorders>
          </w:tcPr>
          <w:p w:rsidR="00710A86" w:rsidRPr="00710A86" w:rsidRDefault="00710A86" w:rsidP="00710A86">
            <w:pPr>
              <w:spacing w:before="0"/>
              <w:cnfStyle w:val="000000100000"/>
              <w:rPr>
                <w:sz w:val="22"/>
              </w:rPr>
            </w:pPr>
          </w:p>
        </w:tc>
      </w:tr>
      <w:tr w:rsidR="00710A86" w:rsidRPr="00710A86" w:rsidTr="00F20E85">
        <w:tc>
          <w:tcPr>
            <w:cnfStyle w:val="001000000000"/>
            <w:tcW w:w="4811" w:type="dxa"/>
          </w:tcPr>
          <w:p w:rsidR="00710A86" w:rsidRPr="00710A86" w:rsidRDefault="00710A86" w:rsidP="00710A86">
            <w:pPr>
              <w:rPr>
                <w:sz w:val="22"/>
              </w:rPr>
            </w:pPr>
            <w:r w:rsidRPr="00710A86">
              <w:rPr>
                <w:sz w:val="22"/>
              </w:rPr>
              <w:t>Nike</w:t>
            </w:r>
          </w:p>
        </w:tc>
        <w:tc>
          <w:tcPr>
            <w:tcW w:w="4811" w:type="dxa"/>
          </w:tcPr>
          <w:p w:rsidR="00710A86" w:rsidRPr="00710A86" w:rsidRDefault="00710A86" w:rsidP="00710A86">
            <w:pPr>
              <w:cnfStyle w:val="000000000000"/>
              <w:rPr>
                <w:sz w:val="22"/>
              </w:rPr>
            </w:pPr>
          </w:p>
        </w:tc>
      </w:tr>
      <w:tr w:rsidR="00710A86" w:rsidRPr="00710A86" w:rsidTr="00F20E85">
        <w:trPr>
          <w:cnfStyle w:val="000000100000"/>
        </w:trPr>
        <w:tc>
          <w:tcPr>
            <w:cnfStyle w:val="001000000000"/>
            <w:tcW w:w="4811" w:type="dxa"/>
            <w:tcBorders>
              <w:top w:val="none" w:sz="0" w:space="0" w:color="auto"/>
              <w:left w:val="none" w:sz="0" w:space="0" w:color="auto"/>
              <w:bottom w:val="none" w:sz="0" w:space="0" w:color="auto"/>
            </w:tcBorders>
          </w:tcPr>
          <w:p w:rsidR="00710A86" w:rsidRPr="00710A86" w:rsidRDefault="00710A86" w:rsidP="00710A86">
            <w:pPr>
              <w:rPr>
                <w:sz w:val="22"/>
              </w:rPr>
            </w:pPr>
            <w:r w:rsidRPr="00710A86">
              <w:rPr>
                <w:sz w:val="22"/>
              </w:rPr>
              <w:t>Amazon</w:t>
            </w:r>
          </w:p>
        </w:tc>
        <w:tc>
          <w:tcPr>
            <w:tcW w:w="4811" w:type="dxa"/>
            <w:tcBorders>
              <w:top w:val="none" w:sz="0" w:space="0" w:color="auto"/>
              <w:bottom w:val="none" w:sz="0" w:space="0" w:color="auto"/>
              <w:right w:val="none" w:sz="0" w:space="0" w:color="auto"/>
            </w:tcBorders>
          </w:tcPr>
          <w:p w:rsidR="00710A86" w:rsidRPr="00710A86" w:rsidRDefault="00710A86" w:rsidP="00710A86">
            <w:pPr>
              <w:cnfStyle w:val="000000100000"/>
              <w:rPr>
                <w:sz w:val="22"/>
              </w:rPr>
            </w:pPr>
          </w:p>
        </w:tc>
      </w:tr>
      <w:tr w:rsidR="00710A86" w:rsidRPr="00710A86" w:rsidTr="00F20E85">
        <w:tc>
          <w:tcPr>
            <w:cnfStyle w:val="001000000000"/>
            <w:tcW w:w="4811" w:type="dxa"/>
          </w:tcPr>
          <w:p w:rsidR="00710A86" w:rsidRPr="00710A86" w:rsidRDefault="00710A86" w:rsidP="00710A86">
            <w:pPr>
              <w:rPr>
                <w:sz w:val="22"/>
              </w:rPr>
            </w:pPr>
            <w:r w:rsidRPr="00710A86">
              <w:rPr>
                <w:sz w:val="22"/>
              </w:rPr>
              <w:t>Ryanair</w:t>
            </w:r>
          </w:p>
        </w:tc>
        <w:tc>
          <w:tcPr>
            <w:tcW w:w="4811" w:type="dxa"/>
          </w:tcPr>
          <w:p w:rsidR="00710A86" w:rsidRPr="00710A86" w:rsidRDefault="00710A86" w:rsidP="00710A86">
            <w:pPr>
              <w:cnfStyle w:val="000000000000"/>
              <w:rPr>
                <w:sz w:val="22"/>
              </w:rPr>
            </w:pPr>
          </w:p>
        </w:tc>
      </w:tr>
      <w:tr w:rsidR="00710A86" w:rsidRPr="00710A86" w:rsidTr="00F20E85">
        <w:trPr>
          <w:cnfStyle w:val="000000100000"/>
        </w:trPr>
        <w:tc>
          <w:tcPr>
            <w:cnfStyle w:val="001000000000"/>
            <w:tcW w:w="4811" w:type="dxa"/>
            <w:tcBorders>
              <w:top w:val="none" w:sz="0" w:space="0" w:color="auto"/>
              <w:left w:val="none" w:sz="0" w:space="0" w:color="auto"/>
              <w:bottom w:val="none" w:sz="0" w:space="0" w:color="auto"/>
            </w:tcBorders>
          </w:tcPr>
          <w:p w:rsidR="00710A86" w:rsidRPr="00710A86" w:rsidRDefault="00710A86" w:rsidP="00710A86">
            <w:pPr>
              <w:rPr>
                <w:sz w:val="22"/>
              </w:rPr>
            </w:pPr>
            <w:r w:rsidRPr="00710A86">
              <w:rPr>
                <w:sz w:val="22"/>
              </w:rPr>
              <w:t>Primark</w:t>
            </w:r>
          </w:p>
        </w:tc>
        <w:tc>
          <w:tcPr>
            <w:tcW w:w="4811" w:type="dxa"/>
            <w:tcBorders>
              <w:top w:val="none" w:sz="0" w:space="0" w:color="auto"/>
              <w:bottom w:val="none" w:sz="0" w:space="0" w:color="auto"/>
              <w:right w:val="none" w:sz="0" w:space="0" w:color="auto"/>
            </w:tcBorders>
          </w:tcPr>
          <w:p w:rsidR="00710A86" w:rsidRPr="00710A86" w:rsidRDefault="00710A86" w:rsidP="00710A86">
            <w:pPr>
              <w:cnfStyle w:val="000000100000"/>
              <w:rPr>
                <w:sz w:val="22"/>
              </w:rPr>
            </w:pPr>
          </w:p>
        </w:tc>
      </w:tr>
      <w:tr w:rsidR="00710A86" w:rsidRPr="00710A86" w:rsidTr="00F20E85">
        <w:tc>
          <w:tcPr>
            <w:cnfStyle w:val="001000000000"/>
            <w:tcW w:w="4811" w:type="dxa"/>
          </w:tcPr>
          <w:p w:rsidR="00710A86" w:rsidRPr="00710A86" w:rsidRDefault="00710A86" w:rsidP="00710A86">
            <w:pPr>
              <w:rPr>
                <w:sz w:val="22"/>
              </w:rPr>
            </w:pPr>
            <w:r w:rsidRPr="00710A86">
              <w:rPr>
                <w:sz w:val="22"/>
              </w:rPr>
              <w:t>Apple</w:t>
            </w:r>
          </w:p>
        </w:tc>
        <w:tc>
          <w:tcPr>
            <w:tcW w:w="4811" w:type="dxa"/>
          </w:tcPr>
          <w:p w:rsidR="00710A86" w:rsidRPr="00710A86" w:rsidRDefault="00710A86" w:rsidP="00710A86">
            <w:pPr>
              <w:cnfStyle w:val="000000000000"/>
              <w:rPr>
                <w:sz w:val="22"/>
              </w:rPr>
            </w:pPr>
          </w:p>
        </w:tc>
      </w:tr>
      <w:tr w:rsidR="00710A86" w:rsidRPr="00710A86" w:rsidTr="00F20E85">
        <w:trPr>
          <w:cnfStyle w:val="000000100000"/>
        </w:trPr>
        <w:tc>
          <w:tcPr>
            <w:cnfStyle w:val="001000000000"/>
            <w:tcW w:w="4811" w:type="dxa"/>
            <w:tcBorders>
              <w:top w:val="none" w:sz="0" w:space="0" w:color="auto"/>
              <w:left w:val="none" w:sz="0" w:space="0" w:color="auto"/>
              <w:bottom w:val="none" w:sz="0" w:space="0" w:color="auto"/>
            </w:tcBorders>
          </w:tcPr>
          <w:p w:rsidR="00710A86" w:rsidRPr="00710A86" w:rsidRDefault="00710A86" w:rsidP="00710A86">
            <w:pPr>
              <w:rPr>
                <w:sz w:val="22"/>
              </w:rPr>
            </w:pPr>
            <w:r w:rsidRPr="00710A86">
              <w:rPr>
                <w:sz w:val="22"/>
              </w:rPr>
              <w:t>B&amp;Q</w:t>
            </w:r>
          </w:p>
        </w:tc>
        <w:tc>
          <w:tcPr>
            <w:tcW w:w="4811" w:type="dxa"/>
            <w:tcBorders>
              <w:top w:val="none" w:sz="0" w:space="0" w:color="auto"/>
              <w:bottom w:val="none" w:sz="0" w:space="0" w:color="auto"/>
              <w:right w:val="none" w:sz="0" w:space="0" w:color="auto"/>
            </w:tcBorders>
          </w:tcPr>
          <w:p w:rsidR="00710A86" w:rsidRPr="00710A86" w:rsidRDefault="00710A86" w:rsidP="00710A86">
            <w:pPr>
              <w:cnfStyle w:val="000000100000"/>
              <w:rPr>
                <w:sz w:val="22"/>
              </w:rPr>
            </w:pPr>
          </w:p>
        </w:tc>
      </w:tr>
      <w:tr w:rsidR="00710A86" w:rsidRPr="00710A86" w:rsidTr="00F20E85">
        <w:tc>
          <w:tcPr>
            <w:cnfStyle w:val="001000000000"/>
            <w:tcW w:w="4811" w:type="dxa"/>
          </w:tcPr>
          <w:p w:rsidR="00710A86" w:rsidRPr="00710A86" w:rsidRDefault="00710A86" w:rsidP="00710A86">
            <w:pPr>
              <w:rPr>
                <w:sz w:val="22"/>
              </w:rPr>
            </w:pPr>
            <w:r w:rsidRPr="00710A86">
              <w:rPr>
                <w:sz w:val="22"/>
              </w:rPr>
              <w:t>Burberry</w:t>
            </w:r>
          </w:p>
        </w:tc>
        <w:tc>
          <w:tcPr>
            <w:tcW w:w="4811" w:type="dxa"/>
          </w:tcPr>
          <w:p w:rsidR="00710A86" w:rsidRPr="00710A86" w:rsidRDefault="00710A86" w:rsidP="00710A86">
            <w:pPr>
              <w:cnfStyle w:val="000000000000"/>
              <w:rPr>
                <w:sz w:val="22"/>
              </w:rPr>
            </w:pPr>
          </w:p>
        </w:tc>
      </w:tr>
    </w:tbl>
    <w:p w:rsidR="00045D18" w:rsidRPr="00F20E85" w:rsidRDefault="00710A86" w:rsidP="00045D18">
      <w:pPr>
        <w:rPr>
          <w:b/>
          <w:color w:val="C00000"/>
          <w:sz w:val="28"/>
        </w:rPr>
      </w:pPr>
      <w:r w:rsidRPr="00F20E85">
        <w:rPr>
          <w:b/>
          <w:color w:val="C00000"/>
          <w:sz w:val="28"/>
        </w:rPr>
        <w:lastRenderedPageBreak/>
        <w:t>Task 2</w:t>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bottom w:w="57" w:type="dxa"/>
        </w:tblCellMar>
        <w:tblLook w:val="0620"/>
      </w:tblPr>
      <w:tblGrid>
        <w:gridCol w:w="9622"/>
      </w:tblGrid>
      <w:tr w:rsidR="00710A86" w:rsidRPr="00AB15B7" w:rsidTr="00F20E85">
        <w:tc>
          <w:tcPr>
            <w:tcW w:w="9622" w:type="dxa"/>
            <w:shd w:val="clear" w:color="auto" w:fill="92D050"/>
          </w:tcPr>
          <w:p w:rsidR="00710A86" w:rsidRPr="006F6651" w:rsidRDefault="00710A86" w:rsidP="005A65A7">
            <w:pPr>
              <w:pStyle w:val="Boxedtext"/>
              <w:rPr>
                <w:b/>
              </w:rPr>
            </w:pPr>
            <w:r>
              <w:rPr>
                <w:b/>
                <w:color w:val="FFFFFF" w:themeColor="background1"/>
              </w:rPr>
              <w:t xml:space="preserve">Case study: </w:t>
            </w:r>
            <w:r w:rsidRPr="00710A86">
              <w:rPr>
                <w:b/>
                <w:color w:val="FFFFFF" w:themeColor="background1"/>
              </w:rPr>
              <w:t>The Big Four facing tough times in the supermarket industry</w:t>
            </w:r>
          </w:p>
        </w:tc>
      </w:tr>
      <w:tr w:rsidR="00710A86" w:rsidTr="00F20E85">
        <w:tc>
          <w:tcPr>
            <w:tcW w:w="9622" w:type="dxa"/>
          </w:tcPr>
          <w:p w:rsidR="00710A86" w:rsidRPr="00710A86" w:rsidRDefault="00710A86" w:rsidP="003F3F5C">
            <w:pPr>
              <w:spacing w:after="0"/>
            </w:pPr>
            <w:r w:rsidRPr="00710A86">
              <w:t>In the wake of the recession and with consumer’s income still squeezed the big four supermarkets have faced increasingly tough competition. Consumers have been switching to low priced discount supermarkets and more upmarket brands, such as Waitrose and M&amp;S.</w:t>
            </w:r>
            <w:r w:rsidR="00FA6E4E">
              <w:t xml:space="preserve"> </w:t>
            </w:r>
            <w:r w:rsidRPr="00710A86">
              <w:t>Sainsbury's, Tesco and Morrisons have all seen sales fall and their market shares eroded.</w:t>
            </w:r>
            <w:r w:rsidR="00FA6E4E">
              <w:t xml:space="preserve"> </w:t>
            </w:r>
            <w:r w:rsidRPr="00710A86">
              <w:t>Between July 2013 and 2014, Aldi’s market share rose 32.2 per cent, while Lidl’s grew 19.5 per cent. So what are their plans to combat these difficult market conditions?</w:t>
            </w:r>
          </w:p>
          <w:p w:rsidR="00710A86" w:rsidRPr="00710A86" w:rsidRDefault="00710A86" w:rsidP="003F3F5C">
            <w:pPr>
              <w:spacing w:after="0"/>
            </w:pPr>
            <w:r w:rsidRPr="00710A86">
              <w:t>In 2014 after reporting losses of £176m and performing worst of the top four</w:t>
            </w:r>
            <w:r w:rsidR="00D01A86">
              <w:t>,</w:t>
            </w:r>
            <w:r w:rsidRPr="00710A86">
              <w:t xml:space="preserve"> struggling Morrisons announced plans to cut 2,600 jobs and offer price discounts worth £1bn over three years to stop its falling sales and market share. This strategy is aimed at streamlining its organisation structure through delayering levels of in-store management to cut costs and have more staff focussed on customer service. They hope with the price cuts and improved customer experience it will give consumers more of a reason to shop there. Morrisons has been very slow to start selling groceries online and has much fewer convenience store formats compared with its rivals such as Tesco.</w:t>
            </w:r>
          </w:p>
          <w:p w:rsidR="00710A86" w:rsidRPr="00710A86" w:rsidRDefault="00710A86" w:rsidP="003F3F5C">
            <w:pPr>
              <w:spacing w:after="0"/>
            </w:pPr>
            <w:r w:rsidRPr="00710A86">
              <w:t>Tesco has been accused of losing focus on its UK business in recent years with failed attempts to expand into the US costing over £1bn and its exit from a range of other countries. It brought in a new Chief Executive</w:t>
            </w:r>
            <w:r w:rsidR="00D01A86">
              <w:t>,</w:t>
            </w:r>
            <w:r w:rsidRPr="00710A86">
              <w:t xml:space="preserve"> David Lewis</w:t>
            </w:r>
            <w:r w:rsidR="00D01A86">
              <w:t>,</w:t>
            </w:r>
            <w:r w:rsidRPr="00710A86">
              <w:t xml:space="preserve"> earlier than planned after falling share prices and profit warnings. As a result the company lost £10bn in value in the space of a year. Tesco had invested £1bn on revamping stores but decided to cut that back as it had had no major impact and cut its dividend payments to fund significant price cuts. It has also been encouraged to break up its store formats into high priced more premium ‘Finest’ stores in those areas of the country that can afford it and then other stores based on its Value and ordinary brands in lower income parts of the UK. Bruno Monteyne</w:t>
            </w:r>
            <w:r w:rsidR="00D01A86">
              <w:t>,</w:t>
            </w:r>
            <w:r w:rsidRPr="00710A86">
              <w:t xml:space="preserve"> the market analyst who suggested the idea</w:t>
            </w:r>
            <w:r w:rsidR="00D01A86">
              <w:t>,</w:t>
            </w:r>
            <w:r w:rsidRPr="00710A86">
              <w:t xml:space="preserve"> believes that this would allow them to focus on different market segments and better focus its offering to compete with the discount and premium brands it is losing market share to. </w:t>
            </w:r>
          </w:p>
          <w:p w:rsidR="00710A86" w:rsidRPr="00710A86" w:rsidRDefault="00710A86" w:rsidP="003F3F5C">
            <w:pPr>
              <w:spacing w:after="0"/>
            </w:pPr>
            <w:r w:rsidRPr="00710A86">
              <w:t xml:space="preserve">Sainsbury's decided to combat the low price rivals Aldi and Lidl in the rapidly-growing UK discount sector by entering a joint venture with Danish discount grocery chain Netto at a cost of £12.5m each. The joint venture will see the launch of 15 Netto stores by the end of 2015 in the north of England. The stores will offer a limited range of branded products but mostly Netto’s cheap own brands. Sainsbury's </w:t>
            </w:r>
            <w:r>
              <w:t>finds most</w:t>
            </w:r>
            <w:r w:rsidRPr="00710A86">
              <w:t xml:space="preserve"> success in the south and south-east </w:t>
            </w:r>
            <w:r>
              <w:t>with the</w:t>
            </w:r>
            <w:r w:rsidRPr="00710A86">
              <w:t xml:space="preserve"> affluent middle classes.</w:t>
            </w:r>
          </w:p>
          <w:p w:rsidR="003F3F5C" w:rsidRPr="003F3F5C" w:rsidRDefault="00710A86" w:rsidP="003F3F5C">
            <w:pPr>
              <w:spacing w:after="0"/>
            </w:pPr>
            <w:r w:rsidRPr="00710A86">
              <w:t>Of the big four supermarkets only Asda did not lose market share and has continued its strategy of low prices and ‘price locks’ on essential items.</w:t>
            </w:r>
          </w:p>
        </w:tc>
      </w:tr>
    </w:tbl>
    <w:p w:rsidR="00045D18" w:rsidRDefault="00045D18" w:rsidP="00710A86"/>
    <w:p w:rsidR="00710A86" w:rsidRDefault="00710A86" w:rsidP="00710A86"/>
    <w:p w:rsidR="003F3F5C" w:rsidRPr="00F20E85" w:rsidRDefault="003F3F5C" w:rsidP="003F3F5C">
      <w:pPr>
        <w:jc w:val="both"/>
        <w:rPr>
          <w:b/>
          <w:color w:val="C00000"/>
          <w:sz w:val="28"/>
        </w:rPr>
      </w:pPr>
      <w:r w:rsidRPr="00F20E85">
        <w:rPr>
          <w:b/>
          <w:color w:val="C00000"/>
          <w:sz w:val="28"/>
        </w:rPr>
        <w:lastRenderedPageBreak/>
        <w:t>Questions</w:t>
      </w:r>
    </w:p>
    <w:p w:rsidR="003F3F5C" w:rsidRDefault="003F3F5C" w:rsidP="00710A86">
      <w:r w:rsidRPr="003F3F5C">
        <w:t>Use real examples from the case study above and your own knowledge to support your answers</w:t>
      </w:r>
      <w:r>
        <w:t>.</w:t>
      </w:r>
    </w:p>
    <w:p w:rsidR="003F3F5C" w:rsidRDefault="003F3F5C" w:rsidP="003F3F5C">
      <w:pPr>
        <w:pStyle w:val="ListParagraph"/>
        <w:numPr>
          <w:ilvl w:val="0"/>
          <w:numId w:val="7"/>
        </w:numPr>
        <w:spacing w:before="0"/>
        <w:contextualSpacing w:val="0"/>
      </w:pPr>
      <w:r>
        <w:t>What is sustainable competitive advantage?</w:t>
      </w:r>
      <w:r w:rsidR="00D01A86">
        <w:br/>
      </w:r>
    </w:p>
    <w:p w:rsidR="003F3F5C" w:rsidRPr="00084014" w:rsidRDefault="003F3F5C" w:rsidP="003F3F5C">
      <w:pPr>
        <w:pStyle w:val="ListParagraph"/>
        <w:numPr>
          <w:ilvl w:val="0"/>
          <w:numId w:val="7"/>
        </w:numPr>
        <w:spacing w:before="0"/>
        <w:contextualSpacing w:val="0"/>
      </w:pPr>
      <w:r w:rsidRPr="00084014">
        <w:t xml:space="preserve">What benefits do you expect Netto to gain from </w:t>
      </w:r>
      <w:r w:rsidR="00730EF7" w:rsidRPr="00084014">
        <w:t xml:space="preserve">their joint venture </w:t>
      </w:r>
      <w:r w:rsidRPr="00084014">
        <w:t>deal with Sainsbury’s?</w:t>
      </w:r>
      <w:r w:rsidR="00D01A86">
        <w:br/>
      </w:r>
    </w:p>
    <w:p w:rsidR="003F3F5C" w:rsidRPr="00084014" w:rsidRDefault="00D01A86" w:rsidP="003F3F5C">
      <w:pPr>
        <w:pStyle w:val="ListParagraph"/>
        <w:numPr>
          <w:ilvl w:val="0"/>
          <w:numId w:val="7"/>
        </w:numPr>
        <w:spacing w:before="0"/>
        <w:contextualSpacing w:val="0"/>
      </w:pPr>
      <w:r>
        <w:t xml:space="preserve">Why are </w:t>
      </w:r>
      <w:bookmarkStart w:id="0" w:name="_GoBack"/>
      <w:bookmarkEnd w:id="0"/>
      <w:r w:rsidR="003F3F5C" w:rsidRPr="00084014">
        <w:t>Sainsbury’s taking the risk of partnering with a supermarket rival such as Netto and helping them to re-enter the UK market?</w:t>
      </w:r>
      <w:r>
        <w:br/>
      </w:r>
    </w:p>
    <w:p w:rsidR="003F3F5C" w:rsidRPr="00084014" w:rsidRDefault="003F3F5C" w:rsidP="003F3F5C">
      <w:pPr>
        <w:pStyle w:val="ListParagraph"/>
        <w:numPr>
          <w:ilvl w:val="0"/>
          <w:numId w:val="7"/>
        </w:numPr>
        <w:spacing w:before="0"/>
        <w:contextualSpacing w:val="0"/>
      </w:pPr>
      <w:r w:rsidRPr="00084014">
        <w:t>What do Morrisons hope to gain from their strategy of delayering?</w:t>
      </w:r>
      <w:r w:rsidR="00D01A86">
        <w:br/>
      </w:r>
    </w:p>
    <w:p w:rsidR="003F3F5C" w:rsidRPr="00084014" w:rsidRDefault="003F3F5C" w:rsidP="003F3F5C">
      <w:pPr>
        <w:pStyle w:val="ListParagraph"/>
        <w:numPr>
          <w:ilvl w:val="0"/>
          <w:numId w:val="7"/>
        </w:numPr>
        <w:spacing w:before="0"/>
        <w:contextualSpacing w:val="0"/>
      </w:pPr>
      <w:r w:rsidRPr="00084014">
        <w:t>What do you believe are the key determinants of success in the supermarket industry? Support your answer with examples.</w:t>
      </w:r>
      <w:r w:rsidR="00D01A86">
        <w:br/>
      </w:r>
    </w:p>
    <w:p w:rsidR="003F3F5C" w:rsidRPr="00084014" w:rsidRDefault="003F3F5C" w:rsidP="003F3F5C">
      <w:pPr>
        <w:pStyle w:val="ListParagraph"/>
        <w:numPr>
          <w:ilvl w:val="0"/>
          <w:numId w:val="7"/>
        </w:numPr>
        <w:spacing w:before="0"/>
        <w:contextualSpacing w:val="0"/>
      </w:pPr>
      <w:r w:rsidRPr="00084014">
        <w:t>Analyse the supermarket industry using Porter’s Five Forces.</w:t>
      </w:r>
      <w:r w:rsidR="00D01A86">
        <w:br/>
      </w:r>
    </w:p>
    <w:p w:rsidR="003F3F5C" w:rsidRDefault="003F3F5C" w:rsidP="003F3F5C">
      <w:pPr>
        <w:pStyle w:val="ListParagraph"/>
        <w:numPr>
          <w:ilvl w:val="0"/>
          <w:numId w:val="7"/>
        </w:numPr>
        <w:spacing w:before="0"/>
        <w:contextualSpacing w:val="0"/>
      </w:pPr>
      <w:r w:rsidRPr="00084014">
        <w:t xml:space="preserve">With reference to the Porter’s </w:t>
      </w:r>
      <w:r w:rsidR="00730EF7" w:rsidRPr="00084014">
        <w:t>generic strategies and the supermarket industry from the articles above disc</w:t>
      </w:r>
      <w:r w:rsidRPr="00084014">
        <w:t xml:space="preserve">uss whether it is better to pursue a strategy </w:t>
      </w:r>
      <w:r w:rsidR="00730EF7" w:rsidRPr="00084014">
        <w:t>of cost leadership or differentiation</w:t>
      </w:r>
      <w:r w:rsidR="00D01A86">
        <w:t>.</w:t>
      </w:r>
      <w:r w:rsidR="00D01A86">
        <w:br/>
      </w:r>
      <w:r w:rsidRPr="00084014">
        <w:t xml:space="preserve"> </w:t>
      </w:r>
    </w:p>
    <w:p w:rsidR="003F3F5C" w:rsidRPr="003F3F5C" w:rsidRDefault="003F3F5C" w:rsidP="003F3F5C">
      <w:pPr>
        <w:pStyle w:val="ListParagraph"/>
        <w:numPr>
          <w:ilvl w:val="0"/>
          <w:numId w:val="7"/>
        </w:numPr>
        <w:spacing w:before="0"/>
        <w:contextualSpacing w:val="0"/>
        <w:rPr>
          <w:rFonts w:cs="Arial"/>
        </w:rPr>
      </w:pPr>
      <w:r w:rsidRPr="00084014">
        <w:rPr>
          <w:rFonts w:cs="Arial"/>
        </w:rPr>
        <w:t>Explain why Porter suggests</w:t>
      </w:r>
      <w:r>
        <w:rPr>
          <w:rFonts w:cs="Arial"/>
        </w:rPr>
        <w:t xml:space="preserve"> that </w:t>
      </w:r>
      <w:r w:rsidRPr="00084014">
        <w:rPr>
          <w:rFonts w:cs="Arial"/>
        </w:rPr>
        <w:t xml:space="preserve">being </w:t>
      </w:r>
      <w:r>
        <w:rPr>
          <w:rFonts w:cs="Arial"/>
        </w:rPr>
        <w:t>‘</w:t>
      </w:r>
      <w:r w:rsidRPr="00084014">
        <w:rPr>
          <w:rFonts w:cs="Arial"/>
        </w:rPr>
        <w:t>stuck in the middle’ of the generic strategies model is likely to lead to failure</w:t>
      </w:r>
      <w:r w:rsidR="00D01A86">
        <w:rPr>
          <w:rFonts w:cs="Arial"/>
        </w:rPr>
        <w:t>.</w:t>
      </w:r>
      <w:r>
        <w:rPr>
          <w:rFonts w:cs="Arial"/>
        </w:rPr>
        <w:t xml:space="preserve"> </w:t>
      </w:r>
      <w:r w:rsidRPr="00084014">
        <w:t>What are the dangers of being caught in the middle?</w:t>
      </w:r>
      <w:r w:rsidR="00D01A86">
        <w:br/>
      </w:r>
    </w:p>
    <w:p w:rsidR="003F3F5C" w:rsidRPr="00F20E85" w:rsidRDefault="003F3F5C" w:rsidP="003F3F5C">
      <w:pPr>
        <w:spacing w:before="0"/>
        <w:jc w:val="both"/>
        <w:rPr>
          <w:rFonts w:cs="Arial"/>
          <w:b/>
          <w:color w:val="C00000"/>
          <w:sz w:val="28"/>
        </w:rPr>
      </w:pPr>
      <w:r w:rsidRPr="00F20E85">
        <w:rPr>
          <w:rFonts w:cs="Arial"/>
          <w:b/>
          <w:color w:val="C00000"/>
          <w:sz w:val="28"/>
        </w:rPr>
        <w:t>Further research</w:t>
      </w:r>
    </w:p>
    <w:p w:rsidR="003F3F5C" w:rsidRPr="003F3F5C" w:rsidRDefault="003F3F5C" w:rsidP="003F3F5C">
      <w:pPr>
        <w:spacing w:before="0"/>
        <w:jc w:val="both"/>
        <w:rPr>
          <w:rFonts w:cs="Arial"/>
        </w:rPr>
      </w:pPr>
      <w:r w:rsidRPr="003F3F5C">
        <w:rPr>
          <w:rFonts w:cs="Arial"/>
        </w:rPr>
        <w:t xml:space="preserve">Look at how the supermarket industry has developed more recently. What strategies have each of the big chains pursued? Have they seen any success? Relate your answers to Porter’s </w:t>
      </w:r>
      <w:r w:rsidR="00730EF7" w:rsidRPr="003F3F5C">
        <w:rPr>
          <w:rFonts w:cs="Arial"/>
        </w:rPr>
        <w:t>generic strat</w:t>
      </w:r>
      <w:r w:rsidRPr="003F3F5C">
        <w:rPr>
          <w:rFonts w:cs="Arial"/>
        </w:rPr>
        <w:t>egy theory.</w:t>
      </w:r>
    </w:p>
    <w:sectPr w:rsidR="003F3F5C" w:rsidRPr="003F3F5C" w:rsidSect="00471189">
      <w:headerReference w:type="even" r:id="rId7"/>
      <w:headerReference w:type="default" r:id="rId8"/>
      <w:footerReference w:type="even" r:id="rId9"/>
      <w:footerReference w:type="default" r:id="rId10"/>
      <w:headerReference w:type="first" r:id="rId11"/>
      <w:footerReference w:type="first" r:id="rId12"/>
      <w:pgSz w:w="11900" w:h="16840"/>
      <w:pgMar w:top="2552" w:right="1134" w:bottom="851"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B5C" w:rsidRDefault="00263B5C" w:rsidP="00890350">
      <w:r>
        <w:separator/>
      </w:r>
    </w:p>
  </w:endnote>
  <w:endnote w:type="continuationSeparator" w:id="1">
    <w:p w:rsidR="00263B5C" w:rsidRDefault="00263B5C"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1E" w:rsidRDefault="00960B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r w:rsidRPr="001906CA">
      <w:rPr>
        <w:color w:val="2F444D"/>
        <w:sz w:val="18"/>
        <w:szCs w:val="18"/>
      </w:rPr>
      <w:t>AQA A-LEVE</w:t>
    </w:r>
    <w:r>
      <w:rPr>
        <w:color w:val="2F444D"/>
        <w:sz w:val="18"/>
        <w:szCs w:val="18"/>
      </w:rPr>
      <w:t>L Business</w:t>
    </w:r>
    <w:r w:rsidRPr="001906CA">
      <w:rPr>
        <w:color w:val="2F444D"/>
        <w:sz w:val="18"/>
        <w:szCs w:val="18"/>
      </w:rPr>
      <w:tab/>
      <w:t xml:space="preserve">© Hodder &amp; Stoughton Limited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1E" w:rsidRDefault="00960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B5C" w:rsidRDefault="00263B5C" w:rsidP="00890350">
      <w:r>
        <w:separator/>
      </w:r>
    </w:p>
  </w:footnote>
  <w:footnote w:type="continuationSeparator" w:id="1">
    <w:p w:rsidR="00263B5C" w:rsidRDefault="00263B5C"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1E" w:rsidRDefault="00960B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960B1E" w:rsidP="0040650C">
    <w:pPr>
      <w:pStyle w:val="Heading1"/>
      <w:ind w:left="1418"/>
      <w:rPr>
        <w:color w:val="FFFFFF" w:themeColor="background1"/>
      </w:rPr>
    </w:pPr>
    <w:r w:rsidRPr="00960B1E">
      <w:rPr>
        <w:noProof/>
        <w:color w:val="FFFFFF" w:themeColor="background1"/>
        <w:lang w:eastAsia="en-GB"/>
      </w:rPr>
      <w:drawing>
        <wp:anchor distT="0" distB="0" distL="114300" distR="114300" simplePos="0" relativeHeight="251657216" behindDoc="0" locked="0" layoutInCell="1" allowOverlap="1">
          <wp:simplePos x="0" y="0"/>
          <wp:positionH relativeFrom="column">
            <wp:posOffset>-720090</wp:posOffset>
          </wp:positionH>
          <wp:positionV relativeFrom="paragraph">
            <wp:posOffset>-360045</wp:posOffset>
          </wp:positionV>
          <wp:extent cx="1363980" cy="1371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C.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4412" cy="1372034"/>
                  </a:xfrm>
                  <a:prstGeom prst="rect">
                    <a:avLst/>
                  </a:prstGeom>
                </pic:spPr>
              </pic:pic>
            </a:graphicData>
          </a:graphic>
        </wp:anchor>
      </w:drawing>
    </w:r>
    <w:r w:rsidR="0063218D">
      <w:rPr>
        <w:noProof/>
        <w:color w:val="FFFFFF" w:themeColor="background1"/>
        <w:lang w:eastAsia="en-GB"/>
      </w:rPr>
      <w:pict>
        <v:rect id="Rectangle 3" o:spid="_x0000_s4097" style="position:absolute;left:0;text-align:left;margin-left:-61.65pt;margin-top:-28.15pt;width:603pt;height:108pt;z-index:-251658240;visibility:visible;mso-position-horizontal-relative:text;mso-position-vertical-relative:text;mso-width-relative:margin;mso-height-relative:margin;v-text-anchor:middle" fillcolor="#b71170" stroked="f"/>
      </w:pict>
    </w:r>
    <w:r w:rsidR="00B42A3D" w:rsidRPr="00B42A3D">
      <w:rPr>
        <w:noProof/>
        <w:color w:val="FFFFFF" w:themeColor="background1"/>
        <w:lang w:eastAsia="en-GB"/>
      </w:rPr>
      <w:t>Unit 8 Choosing strategic direction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1E" w:rsidRDefault="00960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5F7"/>
    <w:multiLevelType w:val="hybridMultilevel"/>
    <w:tmpl w:val="EF4AB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5628D9"/>
    <w:multiLevelType w:val="hybridMultilevel"/>
    <w:tmpl w:val="4502C1BA"/>
    <w:lvl w:ilvl="0" w:tplc="8F843826">
      <w:start w:val="1"/>
      <w:numFmt w:val="decimal"/>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7"/>
  </w:num>
  <w:num w:numId="5">
    <w:abstractNumId w:val="6"/>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1266">
      <o:colormenu v:ext="edit" fillcolor="#b71170"/>
    </o:shapedefaults>
    <o:shapelayout v:ext="edit">
      <o:idmap v:ext="edit" data="4"/>
    </o:shapelayout>
  </w:hdrShapeDefaults>
  <w:footnotePr>
    <w:footnote w:id="0"/>
    <w:footnote w:id="1"/>
  </w:footnotePr>
  <w:endnotePr>
    <w:endnote w:id="0"/>
    <w:endnote w:id="1"/>
  </w:endnotePr>
  <w:compat>
    <w:useFELayout/>
  </w:compat>
  <w:rsids>
    <w:rsidRoot w:val="00045D18"/>
    <w:rsid w:val="00045D18"/>
    <w:rsid w:val="0006096A"/>
    <w:rsid w:val="000A727D"/>
    <w:rsid w:val="000B02A3"/>
    <w:rsid w:val="000C066F"/>
    <w:rsid w:val="001906CA"/>
    <w:rsid w:val="00195543"/>
    <w:rsid w:val="001C347C"/>
    <w:rsid w:val="001D44D7"/>
    <w:rsid w:val="002413AC"/>
    <w:rsid w:val="00263B5C"/>
    <w:rsid w:val="002E203C"/>
    <w:rsid w:val="002F2F35"/>
    <w:rsid w:val="003F3F5C"/>
    <w:rsid w:val="0040650C"/>
    <w:rsid w:val="00471189"/>
    <w:rsid w:val="004E6EDD"/>
    <w:rsid w:val="004F61AB"/>
    <w:rsid w:val="00587466"/>
    <w:rsid w:val="0063218D"/>
    <w:rsid w:val="00661C1E"/>
    <w:rsid w:val="00665E17"/>
    <w:rsid w:val="00710A86"/>
    <w:rsid w:val="00713354"/>
    <w:rsid w:val="00730EF7"/>
    <w:rsid w:val="007B204A"/>
    <w:rsid w:val="00890350"/>
    <w:rsid w:val="008D36FD"/>
    <w:rsid w:val="008D4C28"/>
    <w:rsid w:val="009606AD"/>
    <w:rsid w:val="00960B1E"/>
    <w:rsid w:val="00A95225"/>
    <w:rsid w:val="00AB15B7"/>
    <w:rsid w:val="00AC41CF"/>
    <w:rsid w:val="00B42A3D"/>
    <w:rsid w:val="00B54CDF"/>
    <w:rsid w:val="00BE290E"/>
    <w:rsid w:val="00CB26FA"/>
    <w:rsid w:val="00CF6D49"/>
    <w:rsid w:val="00D01A86"/>
    <w:rsid w:val="00D07168"/>
    <w:rsid w:val="00DC6E20"/>
    <w:rsid w:val="00E23817"/>
    <w:rsid w:val="00E777D1"/>
    <w:rsid w:val="00F20E85"/>
    <w:rsid w:val="00FA6E4E"/>
    <w:rsid w:val="00FC2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fillcolor="#b7117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S&amp;G template Bk 2.dotx</Template>
  <TotalTime>7</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2</cp:revision>
  <dcterms:created xsi:type="dcterms:W3CDTF">2016-06-18T11:54:00Z</dcterms:created>
  <dcterms:modified xsi:type="dcterms:W3CDTF">2016-06-18T11:54:00Z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74516</vt:lpwstr>
  </property>
  <property fmtid="{D5CDD505-2E9C-101B-9397-08002B2CF9AE}" pid="3" name="NXPowerLiteSettings">
    <vt:lpwstr>F5000400038000</vt:lpwstr>
  </property>
  <property fmtid="{D5CDD505-2E9C-101B-9397-08002B2CF9AE}" pid="4" name="NXPowerLiteVersion">
    <vt:lpwstr>D6.1.2</vt:lpwstr>
  </property>
</Properties>
</file>